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firstLine="880" w:firstLineChars="200"/>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廊坊市大厂回族自治县</w:t>
      </w:r>
      <w:r>
        <w:rPr>
          <w:rFonts w:hint="eastAsia" w:ascii="方正小标宋简体" w:hAnsi="Times New Roman" w:eastAsia="方正小标宋简体" w:cs="方正小标宋简体"/>
          <w:sz w:val="44"/>
          <w:szCs w:val="44"/>
          <w:lang w:eastAsia="zh-CN"/>
        </w:rPr>
        <w:t>房产管理局</w:t>
      </w:r>
    </w:p>
    <w:p>
      <w:pPr>
        <w:tabs>
          <w:tab w:val="center" w:pos="7385"/>
          <w:tab w:val="left" w:pos="11490"/>
        </w:tabs>
        <w:spacing w:line="800" w:lineRule="exact"/>
        <w:ind w:firstLine="880" w:firstLineChars="200"/>
        <w:jc w:val="left"/>
        <w:rPr>
          <w:rFonts w:ascii="方正小标宋简体" w:hAnsi="Times New Roman" w:eastAsia="方正小标宋简体" w:cs="Times New Roman"/>
          <w:sz w:val="44"/>
          <w:szCs w:val="44"/>
        </w:rPr>
      </w:pPr>
      <w:r>
        <w:rPr>
          <w:rFonts w:ascii="方正小标宋简体" w:hAnsi="Times New Roman" w:eastAsia="方正小标宋简体" w:cs="Times New Roman"/>
          <w:sz w:val="44"/>
          <w:szCs w:val="44"/>
        </w:rPr>
        <w:tab/>
      </w:r>
      <w:r>
        <w:rPr>
          <w:rFonts w:ascii="方正小标宋简体" w:hAnsi="Times New Roman" w:eastAsia="方正小标宋简体" w:cs="方正小标宋简体"/>
          <w:sz w:val="44"/>
          <w:szCs w:val="44"/>
        </w:rPr>
        <w:t>2016</w:t>
      </w:r>
      <w:r>
        <w:rPr>
          <w:rFonts w:hint="eastAsia" w:ascii="方正小标宋简体" w:hAnsi="Times New Roman" w:eastAsia="方正小标宋简体" w:cs="方正小标宋简体"/>
          <w:sz w:val="44"/>
          <w:szCs w:val="44"/>
        </w:rPr>
        <w:t>年度部门决算信息公开</w:t>
      </w:r>
      <w:r>
        <w:rPr>
          <w:rFonts w:hint="eastAsia" w:ascii="方正小标宋简体" w:hAnsi="Times New Roman" w:eastAsia="方正小标宋简体" w:cs="方正小标宋简体"/>
          <w:sz w:val="44"/>
          <w:szCs w:val="44"/>
          <w:lang w:val="en-US" w:eastAsia="zh-CN"/>
        </w:rPr>
        <w:t xml:space="preserve"> </w:t>
      </w:r>
      <w:bookmarkStart w:id="0" w:name="_GoBack"/>
      <w:bookmarkEnd w:id="0"/>
      <w:r>
        <w:rPr>
          <w:rFonts w:ascii="方正小标宋简体" w:hAnsi="Times New Roman" w:eastAsia="方正小标宋简体" w:cs="Times New Roman"/>
          <w:sz w:val="44"/>
          <w:szCs w:val="44"/>
        </w:rPr>
        <w:tab/>
      </w:r>
    </w:p>
    <w:p>
      <w:pPr>
        <w:ind w:firstLine="640" w:firstLineChars="200"/>
        <w:rPr>
          <w:rFonts w:hint="eastAsia" w:ascii="仿宋_GB2312" w:hAnsi="仿宋" w:eastAsia="仿宋_GB2312"/>
          <w:sz w:val="32"/>
          <w:szCs w:val="32"/>
        </w:rPr>
      </w:pP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按照《预算法》、《河北省财政厅关于印发&lt;河北省预算决算公开操作规程实施细则&gt;的通知》（冀财预[2016]129号）等规定，现将</w:t>
      </w:r>
      <w:r>
        <w:rPr>
          <w:rFonts w:hint="eastAsia" w:ascii="仿宋_GB2312" w:hAnsi="仿宋" w:eastAsia="仿宋_GB2312"/>
          <w:sz w:val="32"/>
          <w:szCs w:val="32"/>
          <w:lang w:eastAsia="zh-CN"/>
        </w:rPr>
        <w:t>廊坊市大厂回族自治县房产管理局</w:t>
      </w:r>
      <w:r>
        <w:rPr>
          <w:rFonts w:hint="eastAsia" w:ascii="仿宋_GB2312" w:hAnsi="仿宋" w:eastAsia="仿宋_GB2312"/>
          <w:sz w:val="32"/>
          <w:szCs w:val="32"/>
        </w:rPr>
        <w:t>2016年</w:t>
      </w:r>
      <w:r>
        <w:rPr>
          <w:rFonts w:hint="eastAsia" w:ascii="仿宋_GB2312" w:hAnsi="仿宋" w:eastAsia="仿宋_GB2312"/>
          <w:sz w:val="32"/>
          <w:szCs w:val="32"/>
          <w:lang w:eastAsia="zh-CN"/>
        </w:rPr>
        <w:t>度</w:t>
      </w:r>
      <w:r>
        <w:rPr>
          <w:rFonts w:hint="eastAsia" w:ascii="仿宋_GB2312" w:hAnsi="仿宋" w:eastAsia="仿宋_GB2312"/>
          <w:sz w:val="32"/>
          <w:szCs w:val="32"/>
        </w:rPr>
        <w:t>部门决算公开如下：</w:t>
      </w:r>
    </w:p>
    <w:p>
      <w:pPr>
        <w:pStyle w:val="6"/>
        <w:shd w:val="clear" w:color="auto" w:fill="FFFFFF"/>
        <w:spacing w:before="0" w:beforeAutospacing="0" w:after="0" w:afterAutospacing="0" w:line="580" w:lineRule="exact"/>
        <w:rPr>
          <w:rFonts w:ascii="黑体" w:hAnsi="黑体" w:eastAsia="黑体"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一、大厂回族自治县</w:t>
      </w:r>
      <w:r>
        <w:rPr>
          <w:rFonts w:hint="eastAsia" w:ascii="黑体" w:hAnsi="黑体" w:eastAsia="黑体" w:cs="黑体"/>
          <w:sz w:val="32"/>
          <w:szCs w:val="32"/>
          <w:lang w:eastAsia="zh-CN"/>
        </w:rPr>
        <w:t>房管局</w:t>
      </w:r>
      <w:r>
        <w:rPr>
          <w:rFonts w:hint="eastAsia" w:ascii="黑体" w:hAnsi="黑体" w:eastAsia="黑体" w:cs="黑体"/>
          <w:sz w:val="32"/>
          <w:szCs w:val="32"/>
        </w:rPr>
        <w:t>概况</w:t>
      </w:r>
    </w:p>
    <w:p>
      <w:pPr>
        <w:numPr>
          <w:ilvl w:val="0"/>
          <w:numId w:val="1"/>
        </w:numPr>
        <w:spacing w:line="58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部门职责</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1、宣传贯彻《中华人民共和国城市房地产管理法》，参照该法及有关法律、法规，制定适合我县实际情况的住房保障和房地产管理规章、管理办法等</w:t>
      </w:r>
      <w:r>
        <w:rPr>
          <w:rFonts w:hint="eastAsia" w:ascii="仿宋_GB2312" w:hAnsi="仿宋" w:eastAsia="仿宋_GB2312"/>
          <w:sz w:val="32"/>
          <w:szCs w:val="32"/>
          <w:lang w:eastAsia="zh-CN"/>
        </w:rPr>
        <w:t>。</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贯彻落实廉租住房保障制度，负责廉租住房的购建、维修管理、租赁补贴发放、经济适用住房项目前期准备和销售代理等事宜。</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负责全县房地产的行业管理工作。制定全县住宅建设计划、商品房开发计划，保障性住房建设计划，编制住宅建设、商品房开发、保障性住房建设的中、长期发展规划，并组织实施。</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负责对全县房地产开发企业资质的审查和商品房出售等经营行为的监督管理。</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负责全县房屋产权产籍的管理工作，制定我县房屋产权产籍的管理办法，办理全县范围内的房屋确权发证工作。</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管理全县房地产交易市场，制定全县房地产交易市场管理办法、规章等，规范房地产交易行为，办理全县范围内的房地产交易、评估抵押及租赁备案事宜。</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rPr>
        <w:t>负责全县房产测绘工作和各种房产薄册、数据、图集的收集、保存及归档工作。</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8、</w:t>
      </w:r>
      <w:r>
        <w:rPr>
          <w:rFonts w:hint="eastAsia" w:ascii="仿宋_GB2312" w:hAnsi="仿宋" w:eastAsia="仿宋_GB2312"/>
          <w:sz w:val="32"/>
          <w:szCs w:val="32"/>
        </w:rPr>
        <w:t>负责调解和配合有关部门仲裁房地产纠纷，制止和纠正住房中违法行为，并依法查处房屋使用、交易和房地产开发方面的违法违规案件。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9、</w:t>
      </w:r>
      <w:r>
        <w:rPr>
          <w:rFonts w:hint="eastAsia" w:ascii="仿宋_GB2312" w:hAnsi="仿宋" w:eastAsia="仿宋_GB2312"/>
          <w:sz w:val="32"/>
          <w:szCs w:val="32"/>
        </w:rPr>
        <w:t>负责物业服务企业的资质管理和行业管理及企业招投标活动，对企业的经营和服务行为进行监督、检查，并依法查处物业服务活动中的违法违规行为。</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10、</w:t>
      </w:r>
      <w:r>
        <w:rPr>
          <w:rFonts w:hint="eastAsia" w:ascii="仿宋_GB2312" w:hAnsi="仿宋" w:eastAsia="仿宋_GB2312"/>
          <w:sz w:val="32"/>
          <w:szCs w:val="32"/>
        </w:rPr>
        <w:t>负责住宅专项维修基金的缴存、使用、管理工作。</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11、</w:t>
      </w:r>
      <w:r>
        <w:rPr>
          <w:rFonts w:hint="eastAsia" w:ascii="仿宋_GB2312" w:hAnsi="仿宋" w:eastAsia="仿宋_GB2312"/>
          <w:sz w:val="32"/>
          <w:szCs w:val="32"/>
        </w:rPr>
        <w:t>负责组织城镇国有土地上的房屋进行安全鉴定，协助房屋所在地相关部门督促房屋所有人治理危险房屋。</w:t>
      </w:r>
    </w:p>
    <w:p>
      <w:pPr>
        <w:spacing w:line="580" w:lineRule="exact"/>
        <w:rPr>
          <w:rFonts w:ascii="仿宋" w:hAnsi="仿宋" w:eastAsia="仿宋" w:cs="Times New Roman"/>
          <w:sz w:val="32"/>
          <w:szCs w:val="32"/>
        </w:rPr>
      </w:pPr>
    </w:p>
    <w:p>
      <w:pPr>
        <w:spacing w:line="60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（二）机构设置：</w:t>
      </w:r>
    </w:p>
    <w:p>
      <w:pPr>
        <w:spacing w:line="600" w:lineRule="exact"/>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8"/>
        <w:tblW w:w="13880" w:type="dxa"/>
        <w:tblInd w:w="-1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778"/>
        <w:gridCol w:w="2285"/>
        <w:gridCol w:w="2418"/>
        <w:gridCol w:w="33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0" w:hRule="atLeast"/>
          <w:tblHeader/>
        </w:trPr>
        <w:tc>
          <w:tcPr>
            <w:tcW w:w="5778" w:type="dxa"/>
            <w:vMerge w:val="restart"/>
            <w:vAlign w:val="center"/>
          </w:tcPr>
          <w:p>
            <w:pPr>
              <w:spacing w:line="600" w:lineRule="exact"/>
              <w:jc w:val="center"/>
              <w:rPr>
                <w:rFonts w:ascii="仿宋" w:hAnsi="仿宋" w:eastAsia="仿宋" w:cs="Times New Roman"/>
                <w:b/>
                <w:bCs/>
                <w:sz w:val="30"/>
                <w:szCs w:val="30"/>
              </w:rPr>
            </w:pPr>
            <w:r>
              <w:rPr>
                <w:rFonts w:hint="eastAsia" w:ascii="仿宋" w:hAnsi="仿宋" w:eastAsia="仿宋" w:cs="仿宋"/>
                <w:b/>
                <w:bCs/>
                <w:sz w:val="30"/>
                <w:szCs w:val="30"/>
              </w:rPr>
              <w:t>单位名称</w:t>
            </w:r>
          </w:p>
        </w:tc>
        <w:tc>
          <w:tcPr>
            <w:tcW w:w="2285" w:type="dxa"/>
            <w:vMerge w:val="restart"/>
            <w:vAlign w:val="center"/>
          </w:tcPr>
          <w:p>
            <w:pPr>
              <w:spacing w:line="600" w:lineRule="exact"/>
              <w:jc w:val="center"/>
              <w:rPr>
                <w:rFonts w:ascii="仿宋" w:hAnsi="仿宋" w:eastAsia="仿宋" w:cs="Times New Roman"/>
                <w:b/>
                <w:bCs/>
                <w:sz w:val="30"/>
                <w:szCs w:val="30"/>
              </w:rPr>
            </w:pPr>
            <w:r>
              <w:rPr>
                <w:rFonts w:hint="eastAsia" w:ascii="仿宋" w:hAnsi="仿宋" w:eastAsia="仿宋" w:cs="仿宋"/>
                <w:b/>
                <w:bCs/>
                <w:sz w:val="30"/>
                <w:szCs w:val="30"/>
              </w:rPr>
              <w:t>单位性质</w:t>
            </w:r>
          </w:p>
        </w:tc>
        <w:tc>
          <w:tcPr>
            <w:tcW w:w="2418" w:type="dxa"/>
            <w:vMerge w:val="restart"/>
            <w:vAlign w:val="center"/>
          </w:tcPr>
          <w:p>
            <w:pPr>
              <w:spacing w:line="600" w:lineRule="exact"/>
              <w:jc w:val="center"/>
              <w:rPr>
                <w:rFonts w:ascii="仿宋" w:hAnsi="仿宋" w:eastAsia="仿宋" w:cs="Times New Roman"/>
                <w:b/>
                <w:bCs/>
                <w:sz w:val="30"/>
                <w:szCs w:val="30"/>
              </w:rPr>
            </w:pPr>
            <w:r>
              <w:rPr>
                <w:rFonts w:hint="eastAsia" w:ascii="仿宋" w:hAnsi="仿宋" w:eastAsia="仿宋" w:cs="仿宋"/>
                <w:b/>
                <w:bCs/>
                <w:sz w:val="30"/>
                <w:szCs w:val="30"/>
              </w:rPr>
              <w:t>单位规格</w:t>
            </w:r>
          </w:p>
        </w:tc>
        <w:tc>
          <w:tcPr>
            <w:tcW w:w="3399" w:type="dxa"/>
            <w:vMerge w:val="restart"/>
            <w:vAlign w:val="center"/>
          </w:tcPr>
          <w:p>
            <w:pPr>
              <w:spacing w:line="600" w:lineRule="exact"/>
              <w:jc w:val="center"/>
              <w:rPr>
                <w:rFonts w:ascii="仿宋" w:hAnsi="仿宋" w:eastAsia="仿宋" w:cs="Times New Roman"/>
                <w:b/>
                <w:bCs/>
                <w:sz w:val="30"/>
                <w:szCs w:val="30"/>
              </w:rPr>
            </w:pPr>
            <w:r>
              <w:rPr>
                <w:rFonts w:hint="eastAsia" w:ascii="仿宋" w:hAnsi="仿宋" w:eastAsia="仿宋" w:cs="仿宋"/>
                <w:b/>
                <w:bCs/>
                <w:sz w:val="30"/>
                <w:szCs w:val="30"/>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0" w:hRule="atLeast"/>
          <w:tblHeader/>
        </w:trPr>
        <w:tc>
          <w:tcPr>
            <w:tcW w:w="5778" w:type="dxa"/>
            <w:vMerge w:val="continue"/>
            <w:vAlign w:val="center"/>
          </w:tcPr>
          <w:p>
            <w:pPr>
              <w:spacing w:line="600" w:lineRule="exact"/>
              <w:jc w:val="left"/>
              <w:outlineLvl w:val="0"/>
              <w:rPr>
                <w:rFonts w:ascii="仿宋" w:hAnsi="仿宋" w:eastAsia="仿宋" w:cs="Times New Roman"/>
                <w:sz w:val="30"/>
                <w:szCs w:val="30"/>
              </w:rPr>
            </w:pPr>
          </w:p>
        </w:tc>
        <w:tc>
          <w:tcPr>
            <w:tcW w:w="2285" w:type="dxa"/>
            <w:vMerge w:val="continue"/>
            <w:vAlign w:val="center"/>
          </w:tcPr>
          <w:p>
            <w:pPr>
              <w:spacing w:line="600" w:lineRule="exact"/>
              <w:jc w:val="left"/>
              <w:outlineLvl w:val="0"/>
              <w:rPr>
                <w:rFonts w:ascii="仿宋" w:hAnsi="仿宋" w:eastAsia="仿宋" w:cs="Times New Roman"/>
                <w:sz w:val="30"/>
                <w:szCs w:val="30"/>
              </w:rPr>
            </w:pPr>
          </w:p>
        </w:tc>
        <w:tc>
          <w:tcPr>
            <w:tcW w:w="2418" w:type="dxa"/>
            <w:vMerge w:val="continue"/>
            <w:vAlign w:val="center"/>
          </w:tcPr>
          <w:p>
            <w:pPr>
              <w:spacing w:line="600" w:lineRule="exact"/>
              <w:jc w:val="left"/>
              <w:outlineLvl w:val="0"/>
              <w:rPr>
                <w:rFonts w:ascii="仿宋" w:hAnsi="仿宋" w:eastAsia="仿宋" w:cs="Times New Roman"/>
                <w:sz w:val="30"/>
                <w:szCs w:val="30"/>
              </w:rPr>
            </w:pPr>
          </w:p>
        </w:tc>
        <w:tc>
          <w:tcPr>
            <w:tcW w:w="3399" w:type="dxa"/>
            <w:vMerge w:val="continue"/>
            <w:vAlign w:val="center"/>
          </w:tcPr>
          <w:p>
            <w:pPr>
              <w:spacing w:line="600" w:lineRule="exact"/>
              <w:jc w:val="left"/>
              <w:outlineLvl w:val="0"/>
              <w:rPr>
                <w:rFonts w:ascii="仿宋" w:hAnsi="仿宋" w:eastAsia="仿宋" w:cs="Times New Roman"/>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6" w:hRule="atLeast"/>
        </w:trPr>
        <w:tc>
          <w:tcPr>
            <w:tcW w:w="5778" w:type="dxa"/>
            <w:vAlign w:val="center"/>
          </w:tcPr>
          <w:p>
            <w:pPr>
              <w:spacing w:line="600" w:lineRule="exact"/>
              <w:jc w:val="center"/>
              <w:rPr>
                <w:rFonts w:ascii="仿宋" w:hAnsi="仿宋" w:eastAsia="仿宋" w:cs="Times New Roman"/>
                <w:sz w:val="30"/>
                <w:szCs w:val="30"/>
              </w:rPr>
            </w:pPr>
            <w:r>
              <w:rPr>
                <w:rFonts w:hint="eastAsia" w:ascii="仿宋" w:hAnsi="仿宋" w:eastAsia="仿宋" w:cs="仿宋"/>
                <w:sz w:val="30"/>
                <w:szCs w:val="30"/>
              </w:rPr>
              <w:t>河北省廊坊市大厂回族自治县</w:t>
            </w:r>
            <w:r>
              <w:rPr>
                <w:rFonts w:hint="eastAsia" w:ascii="仿宋" w:hAnsi="仿宋" w:eastAsia="仿宋" w:cs="仿宋"/>
                <w:sz w:val="30"/>
                <w:szCs w:val="30"/>
                <w:lang w:eastAsia="zh-CN"/>
              </w:rPr>
              <w:t>房产管理局</w:t>
            </w:r>
          </w:p>
        </w:tc>
        <w:tc>
          <w:tcPr>
            <w:tcW w:w="2285" w:type="dxa"/>
            <w:vAlign w:val="center"/>
          </w:tcPr>
          <w:p>
            <w:pPr>
              <w:spacing w:line="600" w:lineRule="exact"/>
              <w:jc w:val="center"/>
              <w:rPr>
                <w:rFonts w:hint="eastAsia" w:ascii="仿宋" w:hAnsi="仿宋" w:eastAsia="仿宋" w:cs="Times New Roman"/>
                <w:sz w:val="30"/>
                <w:szCs w:val="30"/>
                <w:lang w:eastAsia="zh-CN"/>
              </w:rPr>
            </w:pPr>
            <w:r>
              <w:rPr>
                <w:rFonts w:hint="eastAsia" w:ascii="仿宋" w:hAnsi="仿宋" w:eastAsia="仿宋" w:cs="仿宋"/>
                <w:sz w:val="30"/>
                <w:szCs w:val="30"/>
                <w:lang w:eastAsia="zh-CN"/>
              </w:rPr>
              <w:t>事业</w:t>
            </w:r>
          </w:p>
        </w:tc>
        <w:tc>
          <w:tcPr>
            <w:tcW w:w="2418" w:type="dxa"/>
            <w:vAlign w:val="center"/>
          </w:tcPr>
          <w:p>
            <w:pPr>
              <w:spacing w:line="600" w:lineRule="exact"/>
              <w:jc w:val="center"/>
              <w:rPr>
                <w:rFonts w:ascii="仿宋" w:hAnsi="仿宋" w:eastAsia="仿宋" w:cs="Times New Roman"/>
                <w:sz w:val="30"/>
                <w:szCs w:val="30"/>
              </w:rPr>
            </w:pPr>
            <w:r>
              <w:rPr>
                <w:rFonts w:hint="eastAsia" w:ascii="仿宋" w:hAnsi="仿宋" w:eastAsia="仿宋" w:cs="仿宋"/>
                <w:sz w:val="30"/>
                <w:szCs w:val="30"/>
              </w:rPr>
              <w:t>正科级</w:t>
            </w:r>
          </w:p>
        </w:tc>
        <w:tc>
          <w:tcPr>
            <w:tcW w:w="3399" w:type="dxa"/>
            <w:vAlign w:val="center"/>
          </w:tcPr>
          <w:p>
            <w:pPr>
              <w:spacing w:line="600" w:lineRule="exact"/>
              <w:jc w:val="center"/>
              <w:rPr>
                <w:rFonts w:ascii="仿宋" w:hAnsi="仿宋" w:eastAsia="仿宋" w:cs="Times New Roman"/>
                <w:sz w:val="30"/>
                <w:szCs w:val="30"/>
              </w:rPr>
            </w:pPr>
            <w:r>
              <w:rPr>
                <w:rFonts w:hint="eastAsia" w:ascii="仿宋" w:hAnsi="仿宋" w:eastAsia="仿宋" w:cs="仿宋"/>
                <w:sz w:val="30"/>
                <w:szCs w:val="30"/>
              </w:rPr>
              <w:t>财政拨款</w:t>
            </w:r>
          </w:p>
        </w:tc>
      </w:tr>
    </w:tbl>
    <w:p>
      <w:pPr>
        <w:pStyle w:val="6"/>
        <w:shd w:val="clear" w:color="auto" w:fill="FFFFFF"/>
        <w:spacing w:before="0" w:beforeAutospacing="0" w:after="0" w:afterAutospacing="0" w:line="600" w:lineRule="exact"/>
        <w:ind w:firstLine="645"/>
        <w:rPr>
          <w:rFonts w:ascii="黑体" w:hAnsi="黑体" w:eastAsia="黑体" w:cs="Times New Roman"/>
          <w:sz w:val="32"/>
          <w:szCs w:val="32"/>
        </w:rPr>
      </w:pPr>
      <w:r>
        <w:rPr>
          <w:rFonts w:hint="eastAsia" w:ascii="黑体" w:hAnsi="黑体" w:eastAsia="黑体" w:cs="黑体"/>
          <w:sz w:val="32"/>
          <w:szCs w:val="32"/>
        </w:rPr>
        <w:t>二、大厂回族自治县</w:t>
      </w:r>
      <w:r>
        <w:rPr>
          <w:rFonts w:hint="eastAsia" w:ascii="黑体" w:hAnsi="黑体" w:eastAsia="黑体" w:cs="黑体"/>
          <w:sz w:val="32"/>
          <w:szCs w:val="32"/>
          <w:lang w:eastAsia="zh-CN"/>
        </w:rPr>
        <w:t>房管局</w:t>
      </w:r>
      <w:r>
        <w:rPr>
          <w:rFonts w:ascii="黑体" w:hAnsi="黑体" w:eastAsia="黑体" w:cs="黑体"/>
          <w:sz w:val="32"/>
          <w:szCs w:val="32"/>
        </w:rPr>
        <w:t>2016</w:t>
      </w:r>
      <w:r>
        <w:rPr>
          <w:rFonts w:hint="eastAsia" w:ascii="黑体" w:hAnsi="黑体" w:eastAsia="黑体" w:cs="黑体"/>
          <w:sz w:val="32"/>
          <w:szCs w:val="32"/>
        </w:rPr>
        <w:t>年度部门决算报表（附表）</w:t>
      </w:r>
    </w:p>
    <w:p>
      <w:pPr>
        <w:pStyle w:val="6"/>
        <w:shd w:val="clear" w:color="auto" w:fill="FFFFFF"/>
        <w:spacing w:before="0" w:beforeAutospacing="0" w:after="0" w:afterAutospacing="0" w:line="600" w:lineRule="exact"/>
        <w:rPr>
          <w:rFonts w:ascii="楷体" w:hAnsi="楷体" w:eastAsia="楷体" w:cs="Times New Roman"/>
          <w:b/>
          <w:bCs/>
          <w:kern w:val="2"/>
          <w:sz w:val="32"/>
          <w:szCs w:val="32"/>
        </w:rPr>
      </w:pPr>
      <w:r>
        <w:rPr>
          <w:rFonts w:ascii="楷体" w:hAnsi="楷体" w:eastAsia="楷体" w:cs="楷体"/>
          <w:b/>
          <w:bCs/>
          <w:kern w:val="2"/>
          <w:sz w:val="32"/>
          <w:szCs w:val="32"/>
        </w:rPr>
        <w:t xml:space="preserve">       </w:t>
      </w:r>
      <w:r>
        <w:rPr>
          <w:rFonts w:hint="eastAsia" w:ascii="楷体" w:hAnsi="楷体" w:eastAsia="楷体" w:cs="楷体"/>
          <w:b/>
          <w:bCs/>
          <w:kern w:val="2"/>
          <w:sz w:val="32"/>
          <w:szCs w:val="32"/>
        </w:rPr>
        <w:t>（一）收入支出决算总表</w:t>
      </w:r>
    </w:p>
    <w:p>
      <w:pPr>
        <w:pStyle w:val="6"/>
        <w:shd w:val="clear" w:color="auto" w:fill="FFFFFF"/>
        <w:spacing w:before="0" w:beforeAutospacing="0" w:after="0" w:afterAutospacing="0" w:line="600" w:lineRule="exact"/>
        <w:ind w:firstLine="1110"/>
        <w:rPr>
          <w:rFonts w:ascii="楷体" w:hAnsi="楷体" w:eastAsia="楷体" w:cs="Times New Roman"/>
          <w:b/>
          <w:bCs/>
          <w:kern w:val="2"/>
          <w:sz w:val="32"/>
          <w:szCs w:val="32"/>
        </w:rPr>
      </w:pPr>
      <w:r>
        <w:rPr>
          <w:rFonts w:hint="eastAsia" w:ascii="楷体" w:hAnsi="楷体" w:eastAsia="楷体" w:cs="楷体"/>
          <w:b/>
          <w:bCs/>
          <w:kern w:val="2"/>
          <w:sz w:val="32"/>
          <w:szCs w:val="32"/>
        </w:rPr>
        <w:t>（二）收入决算表</w:t>
      </w:r>
    </w:p>
    <w:p>
      <w:pPr>
        <w:pStyle w:val="6"/>
        <w:shd w:val="clear" w:color="auto" w:fill="FFFFFF"/>
        <w:spacing w:before="0" w:beforeAutospacing="0" w:after="0" w:afterAutospacing="0" w:line="600" w:lineRule="exact"/>
        <w:ind w:firstLine="1110"/>
        <w:rPr>
          <w:rFonts w:ascii="楷体" w:hAnsi="楷体" w:eastAsia="楷体" w:cs="Times New Roman"/>
          <w:b/>
          <w:bCs/>
          <w:kern w:val="2"/>
          <w:sz w:val="32"/>
          <w:szCs w:val="32"/>
        </w:rPr>
      </w:pPr>
      <w:r>
        <w:rPr>
          <w:rFonts w:hint="eastAsia" w:ascii="楷体" w:hAnsi="楷体" w:eastAsia="楷体" w:cs="楷体"/>
          <w:b/>
          <w:bCs/>
          <w:kern w:val="2"/>
          <w:sz w:val="32"/>
          <w:szCs w:val="32"/>
        </w:rPr>
        <w:t>（三）支出决算表</w:t>
      </w:r>
    </w:p>
    <w:p>
      <w:pPr>
        <w:pStyle w:val="6"/>
        <w:shd w:val="clear" w:color="auto" w:fill="FFFFFF"/>
        <w:spacing w:before="0" w:beforeAutospacing="0" w:after="0" w:afterAutospacing="0" w:line="600" w:lineRule="exact"/>
        <w:ind w:firstLine="1110"/>
        <w:rPr>
          <w:rFonts w:ascii="楷体" w:hAnsi="楷体" w:eastAsia="楷体" w:cs="Times New Roman"/>
          <w:b/>
          <w:bCs/>
          <w:kern w:val="2"/>
          <w:sz w:val="32"/>
          <w:szCs w:val="32"/>
        </w:rPr>
      </w:pPr>
      <w:r>
        <w:rPr>
          <w:rFonts w:hint="eastAsia" w:ascii="楷体" w:hAnsi="楷体" w:eastAsia="楷体" w:cs="楷体"/>
          <w:b/>
          <w:bCs/>
          <w:kern w:val="2"/>
          <w:sz w:val="32"/>
          <w:szCs w:val="32"/>
        </w:rPr>
        <w:t>（四）财政拨款收入支出决算总表</w:t>
      </w:r>
    </w:p>
    <w:p>
      <w:pPr>
        <w:pStyle w:val="6"/>
        <w:shd w:val="clear" w:color="auto" w:fill="FFFFFF"/>
        <w:spacing w:before="0" w:beforeAutospacing="0" w:after="0" w:afterAutospacing="0" w:line="600" w:lineRule="exact"/>
        <w:ind w:firstLine="1110"/>
        <w:rPr>
          <w:rFonts w:ascii="楷体" w:hAnsi="楷体" w:eastAsia="楷体" w:cs="Times New Roman"/>
          <w:b/>
          <w:bCs/>
          <w:kern w:val="2"/>
          <w:sz w:val="32"/>
          <w:szCs w:val="32"/>
        </w:rPr>
      </w:pPr>
      <w:r>
        <w:rPr>
          <w:rFonts w:hint="eastAsia" w:ascii="楷体" w:hAnsi="楷体" w:eastAsia="楷体" w:cs="楷体"/>
          <w:b/>
          <w:bCs/>
          <w:kern w:val="2"/>
          <w:sz w:val="32"/>
          <w:szCs w:val="32"/>
        </w:rPr>
        <w:t>（五）一般公共预算财政拨款支出决算表</w:t>
      </w:r>
    </w:p>
    <w:p>
      <w:pPr>
        <w:pStyle w:val="6"/>
        <w:shd w:val="clear" w:color="auto" w:fill="FFFFFF"/>
        <w:spacing w:before="0" w:beforeAutospacing="0" w:after="0" w:afterAutospacing="0" w:line="600" w:lineRule="exact"/>
        <w:ind w:firstLine="1110"/>
        <w:rPr>
          <w:rFonts w:ascii="楷体" w:hAnsi="楷体" w:eastAsia="楷体" w:cs="Times New Roman"/>
          <w:b/>
          <w:bCs/>
          <w:kern w:val="2"/>
          <w:sz w:val="32"/>
          <w:szCs w:val="32"/>
        </w:rPr>
      </w:pPr>
      <w:r>
        <w:rPr>
          <w:rFonts w:hint="eastAsia" w:ascii="楷体" w:hAnsi="楷体" w:eastAsia="楷体" w:cs="楷体"/>
          <w:b/>
          <w:bCs/>
          <w:kern w:val="2"/>
          <w:sz w:val="32"/>
          <w:szCs w:val="32"/>
        </w:rPr>
        <w:t>（六）一般公共预算财政拨款基本支出决算表</w:t>
      </w:r>
    </w:p>
    <w:p>
      <w:pPr>
        <w:pStyle w:val="6"/>
        <w:shd w:val="clear" w:color="auto" w:fill="FFFFFF"/>
        <w:spacing w:before="0" w:beforeAutospacing="0" w:after="0" w:afterAutospacing="0" w:line="600" w:lineRule="exact"/>
        <w:ind w:firstLine="1110"/>
        <w:rPr>
          <w:rFonts w:ascii="楷体" w:hAnsi="楷体" w:eastAsia="楷体" w:cs="Times New Roman"/>
          <w:b/>
          <w:bCs/>
          <w:kern w:val="2"/>
          <w:sz w:val="32"/>
          <w:szCs w:val="32"/>
        </w:rPr>
      </w:pPr>
      <w:r>
        <w:rPr>
          <w:rFonts w:hint="eastAsia" w:ascii="楷体" w:hAnsi="楷体" w:eastAsia="楷体" w:cs="楷体"/>
          <w:b/>
          <w:bCs/>
          <w:kern w:val="2"/>
          <w:sz w:val="32"/>
          <w:szCs w:val="32"/>
        </w:rPr>
        <w:t>（七）政府性基金预算财政拨款收入支出决算表</w:t>
      </w:r>
    </w:p>
    <w:p>
      <w:pPr>
        <w:pStyle w:val="6"/>
        <w:shd w:val="clear" w:color="auto" w:fill="FFFFFF"/>
        <w:spacing w:before="0" w:beforeAutospacing="0" w:after="0" w:afterAutospacing="0" w:line="600" w:lineRule="exact"/>
        <w:ind w:firstLine="1110"/>
        <w:rPr>
          <w:rFonts w:ascii="楷体" w:hAnsi="楷体" w:eastAsia="楷体" w:cs="Times New Roman"/>
          <w:b/>
          <w:bCs/>
          <w:kern w:val="2"/>
          <w:sz w:val="32"/>
          <w:szCs w:val="32"/>
        </w:rPr>
      </w:pPr>
      <w:r>
        <w:rPr>
          <w:rFonts w:hint="eastAsia" w:ascii="楷体" w:hAnsi="楷体" w:eastAsia="楷体" w:cs="楷体"/>
          <w:b/>
          <w:bCs/>
          <w:kern w:val="2"/>
          <w:sz w:val="32"/>
          <w:szCs w:val="32"/>
        </w:rPr>
        <w:t>（八）国有资本经营预算财政拨款收入支出决算表</w:t>
      </w:r>
    </w:p>
    <w:p>
      <w:pPr>
        <w:pStyle w:val="6"/>
        <w:shd w:val="clear" w:color="auto" w:fill="FFFFFF"/>
        <w:spacing w:before="0" w:beforeAutospacing="0" w:after="0" w:afterAutospacing="0" w:line="600" w:lineRule="exact"/>
        <w:ind w:firstLine="1110"/>
        <w:rPr>
          <w:rFonts w:ascii="楷体" w:hAnsi="楷体" w:eastAsia="楷体" w:cs="Times New Roman"/>
          <w:b/>
          <w:bCs/>
          <w:kern w:val="2"/>
          <w:sz w:val="32"/>
          <w:szCs w:val="32"/>
        </w:rPr>
      </w:pPr>
      <w:r>
        <w:rPr>
          <w:rFonts w:hint="eastAsia" w:ascii="楷体" w:hAnsi="楷体" w:eastAsia="楷体" w:cs="楷体"/>
          <w:b/>
          <w:bCs/>
          <w:kern w:val="2"/>
          <w:sz w:val="32"/>
          <w:szCs w:val="32"/>
        </w:rPr>
        <w:t>（九）“三公”经费及相关信息统计表</w:t>
      </w:r>
    </w:p>
    <w:p>
      <w:pPr>
        <w:pStyle w:val="6"/>
        <w:shd w:val="clear" w:color="auto" w:fill="FFFFFF"/>
        <w:spacing w:before="0" w:beforeAutospacing="0" w:after="0" w:afterAutospacing="0" w:line="600" w:lineRule="exact"/>
        <w:ind w:firstLine="1110"/>
        <w:rPr>
          <w:rFonts w:hint="eastAsia" w:ascii="楷体" w:hAnsi="楷体" w:eastAsia="楷体" w:cs="楷体"/>
          <w:b/>
          <w:bCs/>
          <w:kern w:val="2"/>
          <w:sz w:val="32"/>
          <w:szCs w:val="32"/>
        </w:rPr>
      </w:pPr>
      <w:r>
        <w:rPr>
          <w:rFonts w:hint="eastAsia" w:ascii="楷体" w:hAnsi="楷体" w:eastAsia="楷体" w:cs="楷体"/>
          <w:b/>
          <w:bCs/>
          <w:kern w:val="2"/>
          <w:sz w:val="32"/>
          <w:szCs w:val="32"/>
        </w:rPr>
        <w:t>（十）政府采购情况表</w:t>
      </w:r>
    </w:p>
    <w:p>
      <w:pPr>
        <w:pStyle w:val="6"/>
        <w:shd w:val="clear" w:color="auto" w:fill="FFFFFF"/>
        <w:spacing w:before="0" w:beforeAutospacing="0" w:after="0" w:afterAutospacing="0" w:line="600" w:lineRule="exact"/>
        <w:ind w:firstLine="1110"/>
        <w:rPr>
          <w:rFonts w:hint="eastAsia" w:ascii="楷体" w:hAnsi="楷体" w:eastAsia="楷体" w:cs="楷体"/>
          <w:b/>
          <w:bCs/>
          <w:kern w:val="2"/>
          <w:sz w:val="32"/>
          <w:szCs w:val="32"/>
        </w:rPr>
      </w:pPr>
      <w:r>
        <w:rPr>
          <w:rFonts w:hint="eastAsia" w:ascii="楷体" w:hAnsi="楷体" w:eastAsia="楷体" w:cs="楷体"/>
          <w:b/>
          <w:bCs/>
          <w:kern w:val="2"/>
          <w:sz w:val="32"/>
          <w:szCs w:val="32"/>
        </w:rPr>
        <w:t>（详见附件）</w:t>
      </w:r>
    </w:p>
    <w:p>
      <w:pPr>
        <w:pStyle w:val="6"/>
        <w:shd w:val="clear" w:color="auto" w:fill="FFFFFF"/>
        <w:spacing w:before="0" w:beforeAutospacing="0" w:after="0" w:afterAutospacing="0" w:line="600" w:lineRule="exact"/>
        <w:ind w:firstLine="1110"/>
        <w:rPr>
          <w:rFonts w:hint="eastAsia" w:ascii="楷体" w:hAnsi="楷体" w:eastAsia="楷体" w:cs="楷体"/>
          <w:b/>
          <w:bCs/>
          <w:kern w:val="2"/>
          <w:sz w:val="32"/>
          <w:szCs w:val="32"/>
        </w:rPr>
      </w:pPr>
    </w:p>
    <w:p>
      <w:pPr>
        <w:pStyle w:val="6"/>
        <w:shd w:val="clear" w:color="auto" w:fill="FFFFFF"/>
        <w:spacing w:before="0" w:beforeAutospacing="0" w:after="0" w:afterAutospacing="0" w:line="600" w:lineRule="exact"/>
        <w:ind w:firstLine="640"/>
        <w:rPr>
          <w:rFonts w:hint="eastAsia" w:ascii="黑体" w:hAnsi="黑体" w:eastAsia="黑体" w:cs="黑体"/>
          <w:sz w:val="32"/>
          <w:szCs w:val="32"/>
        </w:rPr>
      </w:pPr>
      <w:r>
        <w:rPr>
          <w:rFonts w:hint="eastAsia" w:ascii="黑体" w:hAnsi="黑体" w:eastAsia="黑体" w:cs="黑体"/>
          <w:sz w:val="32"/>
          <w:szCs w:val="32"/>
        </w:rPr>
        <w:t>三、大厂回族自治县</w:t>
      </w:r>
      <w:r>
        <w:rPr>
          <w:rFonts w:hint="eastAsia" w:ascii="黑体" w:hAnsi="黑体" w:eastAsia="黑体" w:cs="黑体"/>
          <w:sz w:val="32"/>
          <w:szCs w:val="32"/>
          <w:lang w:eastAsia="zh-CN"/>
        </w:rPr>
        <w:t>房管局</w:t>
      </w:r>
      <w:r>
        <w:rPr>
          <w:rFonts w:ascii="黑体" w:hAnsi="黑体" w:eastAsia="黑体" w:cs="黑体"/>
          <w:sz w:val="32"/>
          <w:szCs w:val="32"/>
        </w:rPr>
        <w:t>2016</w:t>
      </w:r>
      <w:r>
        <w:rPr>
          <w:rFonts w:hint="eastAsia" w:ascii="黑体" w:hAnsi="黑体" w:eastAsia="黑体" w:cs="黑体"/>
          <w:sz w:val="32"/>
          <w:szCs w:val="32"/>
        </w:rPr>
        <w:t>年</w:t>
      </w:r>
      <w:r>
        <w:rPr>
          <w:rFonts w:hint="eastAsia" w:ascii="黑体" w:hAnsi="黑体" w:eastAsia="黑体" w:cs="黑体"/>
          <w:sz w:val="32"/>
          <w:szCs w:val="32"/>
          <w:lang w:eastAsia="zh-CN"/>
        </w:rPr>
        <w:t>度</w:t>
      </w:r>
      <w:r>
        <w:rPr>
          <w:rFonts w:hint="eastAsia" w:ascii="黑体" w:hAnsi="黑体" w:eastAsia="黑体" w:cs="黑体"/>
          <w:sz w:val="32"/>
          <w:szCs w:val="32"/>
        </w:rPr>
        <w:t>部门决算情况说明</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我部门及所属事业单位的收支包含在部门决算中。</w:t>
      </w:r>
    </w:p>
    <w:p>
      <w:pPr>
        <w:pStyle w:val="6"/>
        <w:shd w:val="clear" w:color="auto" w:fill="FFFFFF"/>
        <w:spacing w:before="0" w:beforeAutospacing="0" w:after="0" w:afterAutospacing="0" w:line="600" w:lineRule="exact"/>
        <w:ind w:firstLine="640"/>
        <w:rPr>
          <w:rFonts w:ascii="楷体" w:hAnsi="楷体" w:eastAsia="楷体" w:cs="Times New Roman"/>
          <w:b/>
          <w:bCs/>
          <w:kern w:val="2"/>
          <w:sz w:val="32"/>
          <w:szCs w:val="32"/>
        </w:rPr>
      </w:pPr>
      <w:r>
        <w:rPr>
          <w:rFonts w:hint="eastAsia" w:ascii="楷体" w:hAnsi="楷体" w:eastAsia="楷体" w:cs="楷体"/>
          <w:b/>
          <w:bCs/>
          <w:kern w:val="2"/>
          <w:sz w:val="32"/>
          <w:szCs w:val="32"/>
        </w:rPr>
        <w:t>（一）收入支出决算总体情况说明</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rPr>
        <w:t>根据《中华人民共和国预算法》和财政财务管理有关规定，县财政局批复我部门2016年</w:t>
      </w:r>
      <w:r>
        <w:rPr>
          <w:rFonts w:hint="eastAsia" w:ascii="仿宋_GB2312" w:hAnsi="仿宋" w:eastAsia="仿宋_GB2312"/>
          <w:sz w:val="32"/>
          <w:szCs w:val="32"/>
          <w:lang w:eastAsia="zh-CN"/>
        </w:rPr>
        <w:t>度</w:t>
      </w:r>
      <w:r>
        <w:rPr>
          <w:rFonts w:hint="eastAsia" w:ascii="仿宋_GB2312" w:hAnsi="仿宋" w:eastAsia="仿宋_GB2312"/>
          <w:sz w:val="32"/>
          <w:szCs w:val="32"/>
        </w:rPr>
        <w:t>决算：</w:t>
      </w:r>
      <w:r>
        <w:rPr>
          <w:rFonts w:hint="eastAsia" w:ascii="仿宋_GB2312" w:hAnsi="仿宋" w:eastAsia="仿宋_GB2312"/>
          <w:sz w:val="32"/>
          <w:szCs w:val="32"/>
          <w:lang w:val="en-US" w:eastAsia="zh-CN"/>
        </w:rPr>
        <w:t xml:space="preserve"> </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rPr>
        <w:t>核定我部门2016年度年初结转和结余140.</w:t>
      </w:r>
      <w:r>
        <w:rPr>
          <w:rFonts w:hint="eastAsia" w:ascii="仿宋_GB2312" w:hAnsi="仿宋" w:eastAsia="仿宋_GB2312"/>
          <w:sz w:val="32"/>
          <w:szCs w:val="32"/>
          <w:lang w:val="en-US" w:eastAsia="zh-CN"/>
        </w:rPr>
        <w:t>8</w:t>
      </w:r>
      <w:r>
        <w:rPr>
          <w:rFonts w:hint="eastAsia" w:ascii="仿宋_GB2312" w:hAnsi="仿宋" w:eastAsia="仿宋_GB2312"/>
          <w:sz w:val="32"/>
          <w:szCs w:val="32"/>
        </w:rPr>
        <w:t>万元，本年收入9,743.7万元，本年支出9,736.9万元，用事业基金弥补收支差额0万元，结余分配0万元，年末结转和结余147.</w:t>
      </w:r>
      <w:r>
        <w:rPr>
          <w:rFonts w:hint="eastAsia" w:ascii="仿宋_GB2312" w:hAnsi="仿宋" w:eastAsia="仿宋_GB2312"/>
          <w:sz w:val="32"/>
          <w:szCs w:val="32"/>
          <w:lang w:val="en-US" w:eastAsia="zh-CN"/>
        </w:rPr>
        <w:t>6</w:t>
      </w:r>
      <w:r>
        <w:rPr>
          <w:rFonts w:hint="eastAsia" w:ascii="仿宋_GB2312" w:hAnsi="仿宋" w:eastAsia="仿宋_GB2312"/>
          <w:sz w:val="32"/>
          <w:szCs w:val="32"/>
        </w:rPr>
        <w:t>万元。</w:t>
      </w:r>
    </w:p>
    <w:p>
      <w:pPr>
        <w:numPr>
          <w:ilvl w:val="0"/>
          <w:numId w:val="1"/>
        </w:numPr>
        <w:spacing w:line="60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收入决算情况说明</w:t>
      </w:r>
    </w:p>
    <w:p>
      <w:pPr>
        <w:numPr>
          <w:ilvl w:val="0"/>
          <w:numId w:val="0"/>
        </w:numPr>
        <w:spacing w:line="600" w:lineRule="exact"/>
        <w:rPr>
          <w:rFonts w:hint="eastAsia" w:ascii="仿宋_GB2312" w:hAnsi="仿宋" w:eastAsia="仿宋_GB2312"/>
          <w:sz w:val="32"/>
          <w:szCs w:val="32"/>
          <w:lang w:val="en-US" w:eastAsia="zh-CN"/>
        </w:rPr>
      </w:pPr>
      <w:r>
        <w:rPr>
          <w:rFonts w:hint="eastAsia" w:ascii="楷体" w:hAnsi="楷体" w:eastAsia="楷体" w:cs="楷体"/>
          <w:b/>
          <w:bCs/>
          <w:sz w:val="32"/>
          <w:szCs w:val="32"/>
          <w:lang w:val="en-US" w:eastAsia="zh-CN"/>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2016年度收入</w:t>
      </w:r>
      <w:r>
        <w:rPr>
          <w:rFonts w:hint="eastAsia" w:ascii="仿宋_GB2312" w:hAnsi="仿宋" w:eastAsia="仿宋_GB2312"/>
          <w:sz w:val="32"/>
          <w:szCs w:val="32"/>
          <w:lang w:val="en-US" w:eastAsia="zh-CN"/>
        </w:rPr>
        <w:t>9743.7</w:t>
      </w:r>
      <w:r>
        <w:rPr>
          <w:rFonts w:hint="eastAsia" w:ascii="仿宋_GB2312" w:hAnsi="仿宋" w:eastAsia="仿宋_GB2312"/>
          <w:sz w:val="32"/>
          <w:szCs w:val="32"/>
        </w:rPr>
        <w:t>万元，其中一般公共预算财政拨款收入</w:t>
      </w:r>
      <w:r>
        <w:rPr>
          <w:rFonts w:hint="eastAsia" w:ascii="仿宋_GB2312" w:hAnsi="仿宋" w:eastAsia="仿宋_GB2312"/>
          <w:sz w:val="32"/>
          <w:szCs w:val="32"/>
          <w:lang w:val="en-US" w:eastAsia="zh-CN"/>
        </w:rPr>
        <w:t>9743.7</w:t>
      </w:r>
      <w:r>
        <w:rPr>
          <w:rFonts w:hint="eastAsia" w:ascii="仿宋_GB2312" w:hAnsi="仿宋" w:eastAsia="仿宋_GB2312"/>
          <w:sz w:val="32"/>
          <w:szCs w:val="32"/>
        </w:rPr>
        <w:t>万元。</w:t>
      </w:r>
    </w:p>
    <w:p>
      <w:pPr>
        <w:numPr>
          <w:ilvl w:val="0"/>
          <w:numId w:val="1"/>
        </w:numPr>
        <w:spacing w:line="60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支出决算情况说明</w:t>
      </w:r>
    </w:p>
    <w:p>
      <w:pPr>
        <w:numPr>
          <w:ilvl w:val="0"/>
          <w:numId w:val="0"/>
        </w:numPr>
        <w:spacing w:line="600" w:lineRule="exact"/>
        <w:rPr>
          <w:rFonts w:hint="eastAsia" w:ascii="仿宋_GB2312" w:hAnsi="仿宋" w:eastAsia="仿宋_GB2312"/>
          <w:sz w:val="32"/>
          <w:szCs w:val="32"/>
          <w:lang w:val="en-US" w:eastAsia="zh-CN"/>
        </w:rPr>
      </w:pPr>
      <w:r>
        <w:rPr>
          <w:rFonts w:hint="eastAsia" w:ascii="仿宋" w:hAnsi="仿宋" w:eastAsia="仿宋" w:cs="仿宋"/>
          <w:sz w:val="32"/>
          <w:szCs w:val="32"/>
          <w:lang w:val="en-US" w:eastAsia="zh-CN"/>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2016年度支出</w:t>
      </w:r>
      <w:r>
        <w:rPr>
          <w:rFonts w:hint="eastAsia" w:ascii="仿宋_GB2312" w:hAnsi="仿宋" w:eastAsia="仿宋_GB2312"/>
          <w:sz w:val="32"/>
          <w:szCs w:val="32"/>
          <w:lang w:val="en-US" w:eastAsia="zh-CN"/>
        </w:rPr>
        <w:t>9736.9</w:t>
      </w:r>
      <w:r>
        <w:rPr>
          <w:rFonts w:hint="eastAsia" w:ascii="仿宋_GB2312" w:hAnsi="仿宋" w:eastAsia="仿宋_GB2312"/>
          <w:sz w:val="32"/>
          <w:szCs w:val="32"/>
        </w:rPr>
        <w:t>万元，其中一般公共预算财政拨款支出</w:t>
      </w:r>
      <w:r>
        <w:rPr>
          <w:rFonts w:hint="eastAsia" w:ascii="仿宋_GB2312" w:hAnsi="仿宋" w:eastAsia="仿宋_GB2312"/>
          <w:sz w:val="32"/>
          <w:szCs w:val="32"/>
          <w:lang w:val="en-US" w:eastAsia="zh-CN"/>
        </w:rPr>
        <w:t>9736.9</w:t>
      </w:r>
      <w:r>
        <w:rPr>
          <w:rFonts w:hint="eastAsia" w:ascii="仿宋_GB2312" w:hAnsi="仿宋" w:eastAsia="仿宋_GB2312"/>
          <w:sz w:val="32"/>
          <w:szCs w:val="32"/>
        </w:rPr>
        <w:t>万元。</w:t>
      </w:r>
    </w:p>
    <w:p>
      <w:pPr>
        <w:spacing w:line="60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（四）财政拨款收入支出决算总体情况说明</w:t>
      </w:r>
    </w:p>
    <w:p>
      <w:pPr>
        <w:numPr>
          <w:ilvl w:val="0"/>
          <w:numId w:val="0"/>
        </w:num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我部门2016年度年初结转和结余140.8万元，本年收入9,743.7万元，本年支出9,736.9万元，用事业基金弥补收支差额0万元，结余分配0万元，年末结转和结余147.6万元。</w:t>
      </w:r>
    </w:p>
    <w:p>
      <w:pPr>
        <w:numPr>
          <w:ilvl w:val="0"/>
          <w:numId w:val="0"/>
        </w:numPr>
        <w:spacing w:line="600" w:lineRule="exac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2015年度收入决算总额为6249.3万元，2016年度决算收入总额较2015年度增加万元，增加的主要原因为人员增资、日常公用提标以及基础设施建设。2015年度支出决算总额为4272.7万元，2016年度部门支出决算总额较2015年度增加205.9万元，增加的主要原因为人员增资、日常公用提标。</w:t>
      </w:r>
    </w:p>
    <w:p>
      <w:pPr>
        <w:pStyle w:val="6"/>
        <w:shd w:val="clear" w:color="auto" w:fill="FFFFFF"/>
        <w:spacing w:before="0" w:beforeAutospacing="0" w:after="0" w:afterAutospacing="0" w:line="600" w:lineRule="exact"/>
        <w:rPr>
          <w:rFonts w:ascii="楷体" w:hAnsi="楷体" w:eastAsia="楷体" w:cs="Times New Roman"/>
          <w:b/>
          <w:bCs/>
          <w:kern w:val="2"/>
          <w:sz w:val="32"/>
          <w:szCs w:val="32"/>
        </w:rPr>
      </w:pPr>
      <w:r>
        <w:rPr>
          <w:rFonts w:ascii="楷体" w:hAnsi="楷体" w:eastAsia="楷体" w:cs="楷体"/>
          <w:b/>
          <w:bCs/>
          <w:kern w:val="2"/>
          <w:sz w:val="32"/>
          <w:szCs w:val="32"/>
        </w:rPr>
        <w:t xml:space="preserve">    </w:t>
      </w:r>
      <w:r>
        <w:rPr>
          <w:rFonts w:hint="eastAsia" w:ascii="楷体" w:hAnsi="楷体" w:eastAsia="楷体" w:cs="楷体"/>
          <w:b/>
          <w:bCs/>
          <w:kern w:val="2"/>
          <w:sz w:val="32"/>
          <w:szCs w:val="32"/>
        </w:rPr>
        <w:t>（五）“三公”经费决算情况及增减变化原因</w:t>
      </w:r>
    </w:p>
    <w:p>
      <w:pPr>
        <w:numPr>
          <w:ilvl w:val="0"/>
          <w:numId w:val="0"/>
        </w:numPr>
        <w:spacing w:line="600" w:lineRule="exac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2016年度，我部门“三公”经费决算12.6万元，其中因公出国（境）费0万元；公务用车购置及运维费12.6万元（其中：公务用车购置费为0万元，公务用车运行费12.6万元)，与2015年度决算减少2.9万元，主要原因是认真贯彻落实八项规定要求，厉行节约、严格控制支出。与2016年度预算增加2.6万元，增加原因主要有一是房地产市场稳控，需外出督导，执法稽查业务量也随之逐年增加；公务接待共1批次8人，费用共0.048万元，与2015年度相比减少0.303万元；与2016年度预算减少0.352万元，主要原因是认真贯彻落实八项规定要求，厉行节约、严格控制支出。</w:t>
      </w:r>
    </w:p>
    <w:p>
      <w:pPr>
        <w:spacing w:line="60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（六）机关运行经费的支出情况的说明</w:t>
      </w:r>
    </w:p>
    <w:p>
      <w:pPr>
        <w:autoSpaceDE w:val="0"/>
        <w:autoSpaceDN w:val="0"/>
        <w:adjustRightInd w:val="0"/>
        <w:spacing w:line="600" w:lineRule="exact"/>
        <w:ind w:firstLine="640" w:firstLineChars="200"/>
        <w:rPr>
          <w:rFonts w:hint="eastAsia" w:ascii="仿宋" w:hAnsi="仿宋" w:eastAsia="仿宋" w:cs="仿宋"/>
          <w:sz w:val="32"/>
          <w:szCs w:val="32"/>
        </w:rPr>
      </w:pPr>
      <w:r>
        <w:rPr>
          <w:rFonts w:hint="eastAsia" w:ascii="仿宋_GB2312" w:hAnsi="仿宋" w:eastAsia="仿宋_GB2312"/>
          <w:sz w:val="32"/>
          <w:szCs w:val="32"/>
          <w:lang w:val="en-US" w:eastAsia="zh-CN"/>
        </w:rPr>
        <w:t>2016年度本部门机关运行经费支出47.7万元，比2015年度减少9.7万元，减少20.3%，主要原因一是认真贯彻落实八项规定要求，厉行节约、严格控制支出。</w:t>
      </w:r>
    </w:p>
    <w:p>
      <w:pPr>
        <w:autoSpaceDE w:val="0"/>
        <w:autoSpaceDN w:val="0"/>
        <w:adjustRightInd w:val="0"/>
        <w:spacing w:line="600" w:lineRule="exact"/>
        <w:ind w:firstLine="321" w:firstLineChars="100"/>
        <w:rPr>
          <w:rFonts w:hint="eastAsia" w:ascii="楷体" w:hAnsi="楷体" w:eastAsia="楷体" w:cs="楷体"/>
          <w:b/>
          <w:bCs/>
          <w:sz w:val="32"/>
          <w:szCs w:val="32"/>
        </w:rPr>
      </w:pPr>
      <w:r>
        <w:rPr>
          <w:rFonts w:hint="eastAsia" w:ascii="楷体" w:hAnsi="楷体" w:eastAsia="楷体" w:cs="楷体"/>
          <w:b/>
          <w:bCs/>
          <w:sz w:val="32"/>
          <w:szCs w:val="32"/>
        </w:rPr>
        <w:t>（七)绩效预算信息</w:t>
      </w:r>
    </w:p>
    <w:p>
      <w:pPr>
        <w:spacing w:line="600" w:lineRule="exact"/>
        <w:ind w:firstLine="640" w:firstLineChars="200"/>
        <w:rPr>
          <w:rFonts w:ascii="仿宋" w:hAnsi="仿宋" w:eastAsia="仿宋" w:cs="仿宋"/>
          <w:sz w:val="32"/>
          <w:szCs w:val="32"/>
        </w:rPr>
      </w:pPr>
      <w:r>
        <w:rPr>
          <w:rFonts w:hint="eastAsia" w:ascii="仿宋_GB2312" w:hAnsi="仿宋" w:eastAsia="仿宋_GB2312"/>
          <w:sz w:val="32"/>
          <w:szCs w:val="32"/>
          <w:lang w:val="en-US" w:eastAsia="zh-CN"/>
        </w:rPr>
        <w:t xml:space="preserve">2016年度大厂回族自治县房产管理局，大厂回族自治县房产管理局以绩效目标实现为导向，进一步加强制度建设，提升自评质量，预算绩效管理取得新成效。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绩效管理工作水平。 </w:t>
      </w:r>
    </w:p>
    <w:p>
      <w:pPr>
        <w:spacing w:line="600" w:lineRule="exact"/>
        <w:ind w:firstLine="643" w:firstLineChars="200"/>
        <w:rPr>
          <w:rFonts w:ascii="楷体" w:hAnsi="楷体" w:eastAsia="楷体" w:cs="Times New Roman"/>
          <w:b/>
          <w:bCs/>
          <w:sz w:val="32"/>
          <w:szCs w:val="32"/>
        </w:rPr>
      </w:pPr>
      <w:r>
        <w:rPr>
          <w:rFonts w:ascii="楷体" w:hAnsi="楷体" w:eastAsia="楷体" w:cs="楷体"/>
          <w:b/>
          <w:bCs/>
          <w:sz w:val="32"/>
          <w:szCs w:val="32"/>
        </w:rPr>
        <w:t>(</w:t>
      </w:r>
      <w:r>
        <w:rPr>
          <w:rFonts w:hint="eastAsia" w:ascii="楷体" w:hAnsi="楷体" w:eastAsia="楷体" w:cs="楷体"/>
          <w:b/>
          <w:bCs/>
          <w:sz w:val="32"/>
          <w:szCs w:val="32"/>
        </w:rPr>
        <w:t>八）政府采购情况的说明</w:t>
      </w:r>
    </w:p>
    <w:p>
      <w:pPr>
        <w:spacing w:line="600" w:lineRule="exact"/>
        <w:ind w:firstLine="640" w:firstLineChars="200"/>
        <w:rPr>
          <w:rFonts w:ascii="楷体" w:hAnsi="楷体" w:eastAsia="楷体" w:cs="Times New Roman"/>
          <w:b/>
          <w:bCs/>
          <w:sz w:val="32"/>
          <w:szCs w:val="32"/>
        </w:rPr>
      </w:pPr>
      <w:r>
        <w:rPr>
          <w:rFonts w:hint="eastAsia" w:ascii="仿宋_GB2312" w:hAnsi="仿宋" w:eastAsia="仿宋_GB2312"/>
          <w:sz w:val="32"/>
          <w:szCs w:val="32"/>
          <w:lang w:val="en-US" w:eastAsia="zh-CN"/>
        </w:rPr>
        <w:t>我单位本年度无政府采购支出。其中：政府采购货物支出0万元，政府采购工程支出0万元，政府采购服务支出0万元。</w:t>
      </w:r>
    </w:p>
    <w:p>
      <w:pPr>
        <w:spacing w:line="60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（九）国有资产信息</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截止时间：2016年12月31日，本部门共有车辆2辆，其中公务用车1辆，执法执勤用车1辆，价值34.9万元，单位价值50万元以上大型设备121万元，单位价值100万元以上大型设备0台（套）。</w:t>
      </w:r>
    </w:p>
    <w:p>
      <w:pPr>
        <w:spacing w:line="600" w:lineRule="exact"/>
        <w:ind w:firstLine="643" w:firstLineChars="200"/>
        <w:rPr>
          <w:rFonts w:ascii="楷体" w:hAnsi="楷体" w:eastAsia="楷体" w:cs="Times New Roman"/>
          <w:b/>
          <w:bCs/>
          <w:sz w:val="32"/>
          <w:szCs w:val="32"/>
        </w:rPr>
      </w:pPr>
    </w:p>
    <w:p>
      <w:pPr>
        <w:spacing w:line="60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（十）其他需要说明的情况</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我单位无其他需要说明的情况    </w:t>
      </w:r>
    </w:p>
    <w:p>
      <w:pPr>
        <w:pStyle w:val="6"/>
        <w:shd w:val="clear" w:color="auto" w:fill="FFFFFF"/>
        <w:spacing w:before="0" w:beforeAutospacing="0" w:after="0" w:afterAutospacing="0" w:line="600" w:lineRule="exact"/>
        <w:ind w:firstLine="645"/>
        <w:rPr>
          <w:rFonts w:ascii="黑体" w:hAnsi="黑体" w:eastAsia="黑体" w:cs="Times New Roman"/>
          <w:sz w:val="32"/>
          <w:szCs w:val="32"/>
        </w:rPr>
      </w:pPr>
      <w:r>
        <w:rPr>
          <w:rFonts w:hint="eastAsia" w:ascii="黑体" w:hAnsi="黑体" w:eastAsia="黑体" w:cs="黑体"/>
          <w:sz w:val="32"/>
          <w:szCs w:val="32"/>
        </w:rPr>
        <w:t>四、名词解释</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（一）事业收入：指事业单位开展专业业务活动及辅助活动所取得的收入。</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（二）其他收入：指除上述“财政拨款收入”、“事业收入”、“经营收入”等以外的收入。</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（三）年初结转和结余：指以前年度尚未完成、结转到本年仍按原规定用途继续使用的资金，或项目已完成等产生的结余资金。</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（四）结余分配：指事业单位按照事业单位会计制度的规定从非财政补助结余中分配的事业基金和职工福利基金等。</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（五）年末结转和结余：指单位按有关规定结转到下年或以后年度继续使用的资金，或项目已完成等产生的结余资金。</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（六）基本支出：填列单位为保障机构正常运转、完成日常工作任务而发生的各项支出。</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（七）项目支出：填列单位为完成特定的行政工作任务或事业发展目标，在基本支出之外发生的各项支出</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（八）其他资本性支出：填列由各级非发展与改革部门集中安排的用于购置固定资产、战备性和应急性储备、土地和无形资产，以及购建基础设施、大型修缮和财政支持企业更新改造所发生的支出。</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九）“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（十）公务用车购置：填列单位公务用车车辆购置支出（含车辆购置税）。</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（十一）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spacing w:line="600" w:lineRule="exact"/>
        <w:ind w:firstLine="640" w:firstLineChars="200"/>
        <w:rPr>
          <w:rFonts w:hint="eastAsia" w:ascii="仿宋_GB2312" w:hAnsi="仿宋" w:eastAsia="仿宋_GB2312"/>
          <w:sz w:val="32"/>
          <w:szCs w:val="32"/>
          <w:lang w:val="en-US" w:eastAsia="zh-CN"/>
        </w:rPr>
      </w:pPr>
    </w:p>
    <w:sectPr>
      <w:pgSz w:w="16838" w:h="11906" w:orient="landscape"/>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黑体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43" w:usb2="00000009" w:usb3="00000000" w:csb0="400001FF" w:csb1="FFFF0000"/>
  </w:font>
  <w:font w:name="Batang">
    <w:altName w:val="宋体"/>
    <w:panose1 w:val="02030600000101010101"/>
    <w:charset w:val="86"/>
    <w:family w:val="roman"/>
    <w:pitch w:val="default"/>
    <w:sig w:usb0="00000000" w:usb1="00000000" w:usb2="00000030" w:usb3="00000000" w:csb0="4008009F" w:csb1="DFD7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Times New Roman"/>
    <w:panose1 w:val="00000000000000000000"/>
    <w:charset w:val="00"/>
    <w:family w:val="auto"/>
    <w:pitch w:val="default"/>
    <w:sig w:usb0="00000000" w:usb1="00000000" w:usb2="00000000" w:usb3="00000000" w:csb0="00040001" w:csb1="00000000"/>
  </w:font>
  <w:font w:name="方正黑体_GBK">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4186F"/>
    <w:multiLevelType w:val="singleLevel"/>
    <w:tmpl w:val="59F4186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1464E"/>
    <w:rsid w:val="00035B59"/>
    <w:rsid w:val="00037AF6"/>
    <w:rsid w:val="00040997"/>
    <w:rsid w:val="000424DE"/>
    <w:rsid w:val="00045A61"/>
    <w:rsid w:val="00053790"/>
    <w:rsid w:val="000556CE"/>
    <w:rsid w:val="00063B2E"/>
    <w:rsid w:val="00075D5F"/>
    <w:rsid w:val="0009672E"/>
    <w:rsid w:val="000B568F"/>
    <w:rsid w:val="000C3A19"/>
    <w:rsid w:val="000C725E"/>
    <w:rsid w:val="000D35AA"/>
    <w:rsid w:val="000D4CF3"/>
    <w:rsid w:val="000F253C"/>
    <w:rsid w:val="00101751"/>
    <w:rsid w:val="001245BB"/>
    <w:rsid w:val="0013721D"/>
    <w:rsid w:val="00153D0B"/>
    <w:rsid w:val="001544CD"/>
    <w:rsid w:val="00160C6C"/>
    <w:rsid w:val="001704DA"/>
    <w:rsid w:val="00183B19"/>
    <w:rsid w:val="0018479D"/>
    <w:rsid w:val="00185FC7"/>
    <w:rsid w:val="001B369F"/>
    <w:rsid w:val="001D2ED3"/>
    <w:rsid w:val="001E62D1"/>
    <w:rsid w:val="001F55D2"/>
    <w:rsid w:val="00201986"/>
    <w:rsid w:val="00206BF3"/>
    <w:rsid w:val="002102F7"/>
    <w:rsid w:val="00217F5F"/>
    <w:rsid w:val="0022374F"/>
    <w:rsid w:val="00241FD4"/>
    <w:rsid w:val="00247064"/>
    <w:rsid w:val="00251B12"/>
    <w:rsid w:val="002527BD"/>
    <w:rsid w:val="0025682C"/>
    <w:rsid w:val="0026133F"/>
    <w:rsid w:val="00262359"/>
    <w:rsid w:val="002645FB"/>
    <w:rsid w:val="00291731"/>
    <w:rsid w:val="00296113"/>
    <w:rsid w:val="002C29FB"/>
    <w:rsid w:val="002C6D9E"/>
    <w:rsid w:val="002D494F"/>
    <w:rsid w:val="002E38C5"/>
    <w:rsid w:val="002E4E63"/>
    <w:rsid w:val="002F1E7A"/>
    <w:rsid w:val="002F3E58"/>
    <w:rsid w:val="0030542C"/>
    <w:rsid w:val="00311B7A"/>
    <w:rsid w:val="0031584D"/>
    <w:rsid w:val="00330320"/>
    <w:rsid w:val="003573FB"/>
    <w:rsid w:val="00376299"/>
    <w:rsid w:val="003A4FAA"/>
    <w:rsid w:val="003B33A8"/>
    <w:rsid w:val="003B581D"/>
    <w:rsid w:val="003C5530"/>
    <w:rsid w:val="003E1A7F"/>
    <w:rsid w:val="00424BA8"/>
    <w:rsid w:val="004316A4"/>
    <w:rsid w:val="00451871"/>
    <w:rsid w:val="00472923"/>
    <w:rsid w:val="00492214"/>
    <w:rsid w:val="004A26A8"/>
    <w:rsid w:val="004C61E8"/>
    <w:rsid w:val="004C68E4"/>
    <w:rsid w:val="004D4B44"/>
    <w:rsid w:val="004E2CD4"/>
    <w:rsid w:val="004E3066"/>
    <w:rsid w:val="004E74CD"/>
    <w:rsid w:val="00501BA3"/>
    <w:rsid w:val="00502C2F"/>
    <w:rsid w:val="00523E71"/>
    <w:rsid w:val="00526108"/>
    <w:rsid w:val="00526EBA"/>
    <w:rsid w:val="0056274F"/>
    <w:rsid w:val="00573562"/>
    <w:rsid w:val="00581BF9"/>
    <w:rsid w:val="005947F7"/>
    <w:rsid w:val="00596B87"/>
    <w:rsid w:val="005C305F"/>
    <w:rsid w:val="005F0EA4"/>
    <w:rsid w:val="005F44D2"/>
    <w:rsid w:val="006105C9"/>
    <w:rsid w:val="00614A29"/>
    <w:rsid w:val="00623272"/>
    <w:rsid w:val="00625B9C"/>
    <w:rsid w:val="0062743C"/>
    <w:rsid w:val="00646700"/>
    <w:rsid w:val="006468B0"/>
    <w:rsid w:val="006475F8"/>
    <w:rsid w:val="0065214D"/>
    <w:rsid w:val="00674E68"/>
    <w:rsid w:val="00675EB8"/>
    <w:rsid w:val="006A0B33"/>
    <w:rsid w:val="006A4B91"/>
    <w:rsid w:val="006A6EFB"/>
    <w:rsid w:val="006B1100"/>
    <w:rsid w:val="006C1323"/>
    <w:rsid w:val="006C5021"/>
    <w:rsid w:val="006D6F71"/>
    <w:rsid w:val="006F227A"/>
    <w:rsid w:val="0070101A"/>
    <w:rsid w:val="00704619"/>
    <w:rsid w:val="0071444A"/>
    <w:rsid w:val="00715127"/>
    <w:rsid w:val="007431E8"/>
    <w:rsid w:val="0075393C"/>
    <w:rsid w:val="00755FD9"/>
    <w:rsid w:val="00776C08"/>
    <w:rsid w:val="00792D69"/>
    <w:rsid w:val="00796358"/>
    <w:rsid w:val="007B4EE0"/>
    <w:rsid w:val="007C0AED"/>
    <w:rsid w:val="007E1DA8"/>
    <w:rsid w:val="007F21F3"/>
    <w:rsid w:val="007F6ADB"/>
    <w:rsid w:val="007F6C26"/>
    <w:rsid w:val="00807E22"/>
    <w:rsid w:val="00822115"/>
    <w:rsid w:val="00827E9F"/>
    <w:rsid w:val="008334AE"/>
    <w:rsid w:val="00836FED"/>
    <w:rsid w:val="00845CD2"/>
    <w:rsid w:val="008502D8"/>
    <w:rsid w:val="0085290D"/>
    <w:rsid w:val="00852B0D"/>
    <w:rsid w:val="00860DE2"/>
    <w:rsid w:val="008624D2"/>
    <w:rsid w:val="00872A1E"/>
    <w:rsid w:val="0087549F"/>
    <w:rsid w:val="00881692"/>
    <w:rsid w:val="008851A4"/>
    <w:rsid w:val="008B3CC5"/>
    <w:rsid w:val="008B67B2"/>
    <w:rsid w:val="008C2BAF"/>
    <w:rsid w:val="008C2F6A"/>
    <w:rsid w:val="008C38BE"/>
    <w:rsid w:val="008C43DE"/>
    <w:rsid w:val="008E4261"/>
    <w:rsid w:val="008F4662"/>
    <w:rsid w:val="00905D08"/>
    <w:rsid w:val="00914A76"/>
    <w:rsid w:val="009156EB"/>
    <w:rsid w:val="00925753"/>
    <w:rsid w:val="00927519"/>
    <w:rsid w:val="00945C2B"/>
    <w:rsid w:val="00946809"/>
    <w:rsid w:val="00961859"/>
    <w:rsid w:val="00966C5C"/>
    <w:rsid w:val="00973104"/>
    <w:rsid w:val="00977FBC"/>
    <w:rsid w:val="009870E1"/>
    <w:rsid w:val="009A0AE8"/>
    <w:rsid w:val="009A7AA7"/>
    <w:rsid w:val="009C2175"/>
    <w:rsid w:val="009D2E46"/>
    <w:rsid w:val="009D5BDC"/>
    <w:rsid w:val="00A00A82"/>
    <w:rsid w:val="00A0599F"/>
    <w:rsid w:val="00A05AEF"/>
    <w:rsid w:val="00A1790E"/>
    <w:rsid w:val="00A17B4B"/>
    <w:rsid w:val="00A704C4"/>
    <w:rsid w:val="00A72D2E"/>
    <w:rsid w:val="00A817FC"/>
    <w:rsid w:val="00A86850"/>
    <w:rsid w:val="00A911E7"/>
    <w:rsid w:val="00A939D9"/>
    <w:rsid w:val="00A95624"/>
    <w:rsid w:val="00AA1654"/>
    <w:rsid w:val="00AA1833"/>
    <w:rsid w:val="00AB158A"/>
    <w:rsid w:val="00AD35A6"/>
    <w:rsid w:val="00AF1EBA"/>
    <w:rsid w:val="00B07267"/>
    <w:rsid w:val="00B1390C"/>
    <w:rsid w:val="00B20712"/>
    <w:rsid w:val="00B22500"/>
    <w:rsid w:val="00B356C5"/>
    <w:rsid w:val="00B43238"/>
    <w:rsid w:val="00B75216"/>
    <w:rsid w:val="00B80921"/>
    <w:rsid w:val="00B91D52"/>
    <w:rsid w:val="00BA1ACD"/>
    <w:rsid w:val="00BD108D"/>
    <w:rsid w:val="00BD49C5"/>
    <w:rsid w:val="00C01D9F"/>
    <w:rsid w:val="00C1458A"/>
    <w:rsid w:val="00C47493"/>
    <w:rsid w:val="00C5419A"/>
    <w:rsid w:val="00C60250"/>
    <w:rsid w:val="00C62EA6"/>
    <w:rsid w:val="00C80207"/>
    <w:rsid w:val="00C90F19"/>
    <w:rsid w:val="00C962E9"/>
    <w:rsid w:val="00CA0697"/>
    <w:rsid w:val="00CA7176"/>
    <w:rsid w:val="00CC2D95"/>
    <w:rsid w:val="00CC7AA8"/>
    <w:rsid w:val="00CD2773"/>
    <w:rsid w:val="00CE143B"/>
    <w:rsid w:val="00D00E6A"/>
    <w:rsid w:val="00D95ADC"/>
    <w:rsid w:val="00DD0B08"/>
    <w:rsid w:val="00DF45ED"/>
    <w:rsid w:val="00E1637F"/>
    <w:rsid w:val="00E167C7"/>
    <w:rsid w:val="00E91838"/>
    <w:rsid w:val="00EA7A52"/>
    <w:rsid w:val="00EC07F9"/>
    <w:rsid w:val="00EC2D2C"/>
    <w:rsid w:val="00EC3092"/>
    <w:rsid w:val="00EC47F6"/>
    <w:rsid w:val="00EE1B43"/>
    <w:rsid w:val="00EE57B3"/>
    <w:rsid w:val="00EF3F35"/>
    <w:rsid w:val="00F153EF"/>
    <w:rsid w:val="00F35E69"/>
    <w:rsid w:val="00F45B34"/>
    <w:rsid w:val="00F60285"/>
    <w:rsid w:val="00F66032"/>
    <w:rsid w:val="00F91D36"/>
    <w:rsid w:val="00F958C2"/>
    <w:rsid w:val="00FE1D50"/>
    <w:rsid w:val="01160F2D"/>
    <w:rsid w:val="1C087D84"/>
    <w:rsid w:val="1EE44963"/>
    <w:rsid w:val="43DF0C0F"/>
    <w:rsid w:val="4489781A"/>
    <w:rsid w:val="44B334BC"/>
    <w:rsid w:val="46C62BD1"/>
    <w:rsid w:val="471E5D33"/>
    <w:rsid w:val="4CBB2297"/>
    <w:rsid w:val="520D4AB9"/>
    <w:rsid w:val="64A90959"/>
    <w:rsid w:val="709B468A"/>
    <w:rsid w:val="7290077B"/>
    <w:rsid w:val="7D6C5D7A"/>
    <w:rsid w:val="7EFD520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semiHidden/>
    <w:qFormat/>
    <w:uiPriority w:val="99"/>
    <w:rPr>
      <w:rFonts w:ascii="Times New Roman" w:hAnsi="Times New Roman" w:cs="Times New Roman"/>
    </w:rPr>
  </w:style>
  <w:style w:type="paragraph" w:styleId="5">
    <w:name w:val="toc 2"/>
    <w:basedOn w:val="1"/>
    <w:next w:val="1"/>
    <w:semiHidden/>
    <w:qFormat/>
    <w:uiPriority w:val="99"/>
    <w:pPr>
      <w:ind w:left="420" w:leftChars="200"/>
    </w:pPr>
    <w:rPr>
      <w:rFonts w:ascii="Times New Roman" w:hAnsi="Times New Roman" w:cs="Times New Roman"/>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Footer Char"/>
    <w:basedOn w:val="7"/>
    <w:link w:val="2"/>
    <w:qFormat/>
    <w:locked/>
    <w:uiPriority w:val="99"/>
    <w:rPr>
      <w:rFonts w:ascii="Times New Roman" w:hAnsi="Times New Roman" w:eastAsia="宋体" w:cs="Times New Roman"/>
      <w:sz w:val="18"/>
      <w:szCs w:val="18"/>
    </w:rPr>
  </w:style>
  <w:style w:type="character" w:customStyle="1" w:styleId="10">
    <w:name w:val="Header Char"/>
    <w:basedOn w:val="7"/>
    <w:link w:val="3"/>
    <w:qFormat/>
    <w:locked/>
    <w:uiPriority w:val="99"/>
    <w:rPr>
      <w:rFonts w:ascii="Times New Roman" w:hAnsi="Times New Roman" w:eastAsia="宋体" w:cs="Times New Roman"/>
      <w:sz w:val="18"/>
      <w:szCs w:val="18"/>
    </w:rPr>
  </w:style>
  <w:style w:type="character" w:customStyle="1" w:styleId="11">
    <w:name w:val="apple-converted-space"/>
    <w:basedOn w:val="7"/>
    <w:qFormat/>
    <w:uiPriority w:val="99"/>
  </w:style>
  <w:style w:type="paragraph" w:customStyle="1" w:styleId="12">
    <w:name w:val="p0"/>
    <w:basedOn w:val="1"/>
    <w:qFormat/>
    <w:uiPriority w:val="99"/>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10</Pages>
  <Words>571</Words>
  <Characters>3256</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2017-10-24T06:14:00Z</dcterms:created>
  <dc:creator>guest</dc:creator>
  <cp:lastModifiedBy>L＆L</cp:lastModifiedBy>
  <cp:lastPrinted>2017-10-28T05:29:00Z</cp:lastPrinted>
  <dcterms:modified xsi:type="dcterms:W3CDTF">2017-09-28T09:43:12Z</dcterms:modified>
  <dc:title>河北省廊坊市大厂回族自治县供销合作社</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